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FE1" w:rsidRDefault="009E1FE1" w:rsidP="009E1FE1">
      <w:pPr>
        <w:spacing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Світлана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Парфілова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Анастасія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Полєва</w:t>
      </w:r>
      <w:proofErr w:type="spellEnd"/>
    </w:p>
    <w:p w:rsidR="009E1FE1" w:rsidRDefault="009E1FE1" w:rsidP="009E1FE1">
      <w:pPr>
        <w:spacing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Сумський державний педагогічний університет </w:t>
      </w:r>
    </w:p>
    <w:p w:rsidR="009E1FE1" w:rsidRDefault="009E1FE1" w:rsidP="009E1FE1">
      <w:pPr>
        <w:spacing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імені А.С. Макаренка</w:t>
      </w:r>
    </w:p>
    <w:p w:rsidR="009E1FE1" w:rsidRDefault="009E1FE1" w:rsidP="009E1FE1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ПЕДАГОГІЧНІ УМОВИ РОЗВИТКУ ЛОГІЧНОГО МИСЛЕННЯ МОЛОДШИХ ШКОЛЯРІВ В ПРОЦЕСІ ВИВЧЕННЯ МАТЕМАТИКИ</w:t>
      </w:r>
    </w:p>
    <w:p w:rsidR="009E1FE1" w:rsidRDefault="009E1FE1" w:rsidP="009E1FE1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у статті представлено </w:t>
      </w:r>
      <w:bookmarkStart w:id="0" w:name="_GoBack"/>
      <w:bookmarkEnd w:id="0"/>
      <w:r>
        <w:rPr>
          <w:rFonts w:ascii="Times New Roman" w:hAnsi="Times New Roman" w:cs="Times New Roman"/>
          <w:i/>
          <w:sz w:val="28"/>
          <w:szCs w:val="28"/>
          <w:lang w:val="uk-UA"/>
        </w:rPr>
        <w:t>низку педагогічних умов розвитку логічного мислення молодших школярів під час вивчення математики.</w:t>
      </w:r>
    </w:p>
    <w:p w:rsidR="009E1FE1" w:rsidRDefault="009E1FE1" w:rsidP="009E1FE1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умова, педагогічні умови, молодші школярі, логічне мислення, розвиток логічного мислення.</w:t>
      </w:r>
    </w:p>
    <w:p w:rsidR="009E1FE1" w:rsidRDefault="009E1FE1" w:rsidP="009E1FE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Національній доктрині розвитку освіти зазначено, що «освіта – основа розвитку особистості, суспільства, нації, держави, запорука майбутнього України»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Тому одна з найголовніших задач школи – всебічний розвиток та виховання особистості, яка має володіти надзвичайно важливим логічним арсеналом: методами аналізу і синтезу, абстрагування й узагальнення, вмінням доводити і спростовувати, робити правильні висновки, приймати обґрунтовані, раціональні рішення.</w:t>
      </w:r>
    </w:p>
    <w:p w:rsidR="009E1FE1" w:rsidRDefault="009E1FE1" w:rsidP="009E1FE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Необхідною умовою досягнення таких результатів виступає розвиток у дитини логічного мислення як найважливішого чинника, що забезпечує ефективність її подальшого навчання в школі, успішність у професійній підготовці та житті. Тому існує об'єктивна необхідність пошуку таких психолого-педагогічних умов, які сприяли б найбільш ефективному розвитку логічного мислення у дітей молодшого шкільного віку, не збільшуючи при цьому навчальне навантаження. Таким чином, незважаючи на велику кількість досліджень різних аспектів розвитку логічного мислення, в тому числі і у молодших школярів, дане питання є актуальним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обумовило вибір теми дослідження.</w:t>
      </w:r>
    </w:p>
    <w:p w:rsidR="009E1FE1" w:rsidRDefault="009E1FE1" w:rsidP="009E1FE1">
      <w:pPr>
        <w:pStyle w:val="11111111110"/>
        <w:ind w:firstLine="709"/>
        <w:jc w:val="both"/>
        <w:rPr>
          <w:b w:val="0"/>
        </w:rPr>
      </w:pPr>
      <w:r>
        <w:lastRenderedPageBreak/>
        <w:t xml:space="preserve">Аналіз досліджень і публікацій. </w:t>
      </w:r>
      <w:r>
        <w:rPr>
          <w:b w:val="0"/>
        </w:rPr>
        <w:t>Аналіз психолого-педагогічної літератури засвідчив, що проблема розвитку логічного мислення була актуальною на всіх етапах розвитку педагогічної та психологічної наук. У працях П. П. </w:t>
      </w:r>
      <w:proofErr w:type="spellStart"/>
      <w:r>
        <w:rPr>
          <w:b w:val="0"/>
        </w:rPr>
        <w:t>Блонського</w:t>
      </w:r>
      <w:proofErr w:type="spellEnd"/>
      <w:r>
        <w:rPr>
          <w:b w:val="0"/>
        </w:rPr>
        <w:t>, Л. С.</w:t>
      </w:r>
      <w:r>
        <w:t> </w:t>
      </w:r>
      <w:r>
        <w:rPr>
          <w:b w:val="0"/>
        </w:rPr>
        <w:t>Виготського, С. Л. </w:t>
      </w:r>
      <w:proofErr w:type="spellStart"/>
      <w:r>
        <w:rPr>
          <w:b w:val="0"/>
        </w:rPr>
        <w:t>Рубінштейна</w:t>
      </w:r>
      <w:proofErr w:type="spellEnd"/>
      <w:r>
        <w:rPr>
          <w:b w:val="0"/>
        </w:rPr>
        <w:t>, П. Я. </w:t>
      </w:r>
      <w:proofErr w:type="spellStart"/>
      <w:r>
        <w:rPr>
          <w:b w:val="0"/>
        </w:rPr>
        <w:t>Гальперіна</w:t>
      </w:r>
      <w:proofErr w:type="spellEnd"/>
      <w:r>
        <w:rPr>
          <w:b w:val="0"/>
        </w:rPr>
        <w:t>, Д. М. </w:t>
      </w:r>
      <w:proofErr w:type="spellStart"/>
      <w:r>
        <w:rPr>
          <w:b w:val="0"/>
        </w:rPr>
        <w:t>Богоявленського</w:t>
      </w:r>
      <w:proofErr w:type="spellEnd"/>
      <w:r>
        <w:rPr>
          <w:b w:val="0"/>
        </w:rPr>
        <w:t>, Н. А. </w:t>
      </w:r>
      <w:proofErr w:type="spellStart"/>
      <w:r>
        <w:rPr>
          <w:b w:val="0"/>
        </w:rPr>
        <w:t>Менчинської</w:t>
      </w:r>
      <w:proofErr w:type="spellEnd"/>
      <w:r>
        <w:rPr>
          <w:b w:val="0"/>
        </w:rPr>
        <w:t xml:space="preserve"> та В. В. Давидова аналізуються психологічні основи, сутність, чинники і способи розвитку логічного мислення. Педагогічні аспекти розвитку логічного мислення в навчальному процесі знайшли відображення в працях Ю. К.</w:t>
      </w:r>
      <w:r>
        <w:t> </w:t>
      </w:r>
      <w:proofErr w:type="spellStart"/>
      <w:r>
        <w:rPr>
          <w:b w:val="0"/>
        </w:rPr>
        <w:t>Бабанського</w:t>
      </w:r>
      <w:proofErr w:type="spellEnd"/>
      <w:r>
        <w:rPr>
          <w:b w:val="0"/>
        </w:rPr>
        <w:t>, В. П. Безпалько, Н.</w:t>
      </w:r>
      <w:r>
        <w:t> </w:t>
      </w:r>
      <w:r>
        <w:rPr>
          <w:b w:val="0"/>
        </w:rPr>
        <w:t>М. </w:t>
      </w:r>
      <w:proofErr w:type="spellStart"/>
      <w:r>
        <w:rPr>
          <w:b w:val="0"/>
        </w:rPr>
        <w:t>Бібік</w:t>
      </w:r>
      <w:proofErr w:type="spellEnd"/>
      <w:r>
        <w:rPr>
          <w:b w:val="0"/>
        </w:rPr>
        <w:t>, О. Я. Савченко, Н. Ф. </w:t>
      </w:r>
      <w:proofErr w:type="spellStart"/>
      <w:r>
        <w:rPr>
          <w:b w:val="0"/>
        </w:rPr>
        <w:t>Скрипченка</w:t>
      </w:r>
      <w:proofErr w:type="spellEnd"/>
      <w:r>
        <w:rPr>
          <w:b w:val="0"/>
        </w:rPr>
        <w:t>.</w:t>
      </w:r>
    </w:p>
    <w:p w:rsidR="009E1FE1" w:rsidRDefault="009E1FE1" w:rsidP="009E1FE1">
      <w:pPr>
        <w:pStyle w:val="11111111110"/>
        <w:ind w:firstLine="709"/>
        <w:jc w:val="both"/>
        <w:rPr>
          <w:b w:val="0"/>
        </w:rPr>
      </w:pPr>
      <w:r>
        <w:t>Метою статті</w:t>
      </w:r>
      <w:r>
        <w:rPr>
          <w:b w:val="0"/>
        </w:rPr>
        <w:t xml:space="preserve"> є висвітлення комплексу педагогічних умов розвитку логічного мислення молодших школярів у процесі вивчення математики, які сприяють ефективності навчально-виховного процесу.</w:t>
      </w:r>
    </w:p>
    <w:p w:rsidR="009E1FE1" w:rsidRDefault="009E1FE1" w:rsidP="009E1FE1">
      <w:pPr>
        <w:pStyle w:val="11111111110"/>
        <w:ind w:firstLine="709"/>
        <w:jc w:val="both"/>
        <w:rPr>
          <w:b w:val="0"/>
          <w:lang w:val="ru-RU"/>
        </w:rPr>
      </w:pPr>
      <w:proofErr w:type="spellStart"/>
      <w:r>
        <w:rPr>
          <w:lang w:val="ru-RU"/>
        </w:rPr>
        <w:t>Виклад</w:t>
      </w:r>
      <w:proofErr w:type="spellEnd"/>
      <w:r>
        <w:rPr>
          <w:lang w:val="ru-RU"/>
        </w:rPr>
        <w:t xml:space="preserve"> основного </w:t>
      </w:r>
      <w:proofErr w:type="spellStart"/>
      <w:r>
        <w:rPr>
          <w:lang w:val="ru-RU"/>
        </w:rPr>
        <w:t>матеріалу</w:t>
      </w:r>
      <w:proofErr w:type="spellEnd"/>
      <w:r>
        <w:rPr>
          <w:lang w:val="ru-RU"/>
        </w:rPr>
        <w:t>.</w:t>
      </w:r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Ефективність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педагогічного</w:t>
      </w:r>
      <w:proofErr w:type="spellEnd"/>
      <w:r>
        <w:rPr>
          <w:b w:val="0"/>
          <w:lang w:val="ru-RU"/>
        </w:rPr>
        <w:t xml:space="preserve"> процессу </w:t>
      </w:r>
      <w:proofErr w:type="spellStart"/>
      <w:r>
        <w:rPr>
          <w:b w:val="0"/>
          <w:lang w:val="ru-RU"/>
        </w:rPr>
        <w:t>значною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мірою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визначається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тими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умовами</w:t>
      </w:r>
      <w:proofErr w:type="spellEnd"/>
      <w:r>
        <w:rPr>
          <w:b w:val="0"/>
          <w:lang w:val="ru-RU"/>
        </w:rPr>
        <w:t xml:space="preserve">, в </w:t>
      </w:r>
      <w:proofErr w:type="spellStart"/>
      <w:r>
        <w:rPr>
          <w:b w:val="0"/>
          <w:lang w:val="ru-RU"/>
        </w:rPr>
        <w:t>яких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він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lang w:val="ru-RU"/>
        </w:rPr>
        <w:t>відбувається</w:t>
      </w:r>
      <w:proofErr w:type="spellEnd"/>
      <w:r>
        <w:rPr>
          <w:b w:val="0"/>
          <w:lang w:val="ru-RU"/>
        </w:rPr>
        <w:t xml:space="preserve">. Педагоги </w:t>
      </w:r>
      <w:proofErr w:type="spellStart"/>
      <w:r>
        <w:rPr>
          <w:b w:val="0"/>
          <w:lang w:val="ru-RU"/>
        </w:rPr>
        <w:t>розглядають</w:t>
      </w:r>
      <w:proofErr w:type="spellEnd"/>
      <w:r>
        <w:rPr>
          <w:b w:val="0"/>
          <w:lang w:val="ru-RU"/>
        </w:rPr>
        <w:t xml:space="preserve"> </w:t>
      </w:r>
      <w:proofErr w:type="spellStart"/>
      <w:r>
        <w:rPr>
          <w:b w:val="0"/>
          <w:i/>
          <w:lang w:val="ru-RU"/>
        </w:rPr>
        <w:t>умову</w:t>
      </w:r>
      <w:proofErr w:type="spellEnd"/>
      <w:r>
        <w:rPr>
          <w:b w:val="0"/>
          <w:lang w:val="ru-RU"/>
        </w:rPr>
        <w:t xml:space="preserve"> як </w:t>
      </w:r>
      <w:r>
        <w:rPr>
          <w:b w:val="0"/>
        </w:rPr>
        <w:t xml:space="preserve">сукупність змінних природних, соціальних, зовнішніх і внутрішніх впливів, що обумовлюють фізичний, моральний, психічний розвиток школяра, його поведінку, виховання і навчання, формування особистості (В.М. Полонський) </w:t>
      </w:r>
      <w:r>
        <w:rPr>
          <w:b w:val="0"/>
          <w:lang w:val="ru-RU"/>
        </w:rPr>
        <w:t>[</w:t>
      </w:r>
      <w:r>
        <w:rPr>
          <w:b w:val="0"/>
        </w:rPr>
        <w:t>6</w:t>
      </w:r>
      <w:r>
        <w:rPr>
          <w:b w:val="0"/>
          <w:lang w:val="ru-RU"/>
        </w:rPr>
        <w:t>].</w:t>
      </w:r>
    </w:p>
    <w:p w:rsidR="009E1FE1" w:rsidRDefault="009E1FE1" w:rsidP="009E1FE1">
      <w:pPr>
        <w:pStyle w:val="11111111110"/>
        <w:ind w:firstLine="709"/>
        <w:jc w:val="both"/>
        <w:rPr>
          <w:b w:val="0"/>
        </w:rPr>
      </w:pPr>
      <w:r>
        <w:rPr>
          <w:b w:val="0"/>
        </w:rPr>
        <w:t>Можливість засвоєння логічних знань і прийомів дітьми молодшого шкільного віку перевірялася в психолого-педагогічних дослідженнях В. С. </w:t>
      </w:r>
      <w:proofErr w:type="spellStart"/>
      <w:r>
        <w:rPr>
          <w:b w:val="0"/>
        </w:rPr>
        <w:t>Аблової</w:t>
      </w:r>
      <w:proofErr w:type="spellEnd"/>
      <w:r>
        <w:rPr>
          <w:b w:val="0"/>
        </w:rPr>
        <w:t>, , Є. Л. </w:t>
      </w:r>
      <w:proofErr w:type="spellStart"/>
      <w:r>
        <w:rPr>
          <w:b w:val="0"/>
        </w:rPr>
        <w:t>Агаєвої</w:t>
      </w:r>
      <w:proofErr w:type="spellEnd"/>
      <w:r>
        <w:rPr>
          <w:b w:val="0"/>
        </w:rPr>
        <w:t>, Л. Ф. </w:t>
      </w:r>
      <w:proofErr w:type="spellStart"/>
      <w:r>
        <w:rPr>
          <w:b w:val="0"/>
        </w:rPr>
        <w:t>Обухової</w:t>
      </w:r>
      <w:proofErr w:type="spellEnd"/>
      <w:r>
        <w:rPr>
          <w:b w:val="0"/>
        </w:rPr>
        <w:t>, Н. Г. </w:t>
      </w:r>
      <w:proofErr w:type="spellStart"/>
      <w:r>
        <w:rPr>
          <w:b w:val="0"/>
        </w:rPr>
        <w:t>Салминої</w:t>
      </w:r>
      <w:proofErr w:type="spellEnd"/>
      <w:r>
        <w:rPr>
          <w:b w:val="0"/>
        </w:rPr>
        <w:t xml:space="preserve"> [1, 2, 5, 7]. У роботах даних авторів зазначено, що в результаті правильно організованого навчання молодші школярі швидко набувають навички логічного мислення, зокрема, уміння узагальнювати, класифікувати і аргументовано обґрунтовувати свої висновки. Разом із тим, єдиного підходу до вирішення питання, як організувати таке навчання, у педагогічній теорії немає.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Розвиток логічного мислення потребує розробки комплексу педагогічних умов, який забезпечить ефективність проходження даного процесу. Проведений наліз психолого-педагогічних основ розвитку логічного </w:t>
      </w:r>
      <w:r>
        <w:rPr>
          <w:rFonts w:ascii="Times New Roman" w:eastAsia="Calibri" w:hAnsi="Times New Roman" w:cs="Times New Roman"/>
          <w:bCs/>
          <w:sz w:val="28"/>
          <w:szCs w:val="28"/>
          <w:lang w:val="uk-UA"/>
        </w:rPr>
        <w:lastRenderedPageBreak/>
        <w:t>мислення та педагогічних підходів до його реалізації в навчальному процесі, а також аналіз досвіду шкільної практики дав можливість виокремити наступні педагогічні умови:</w:t>
      </w:r>
    </w:p>
    <w:p w:rsidR="009E1FE1" w:rsidRDefault="009E1FE1" w:rsidP="009E1FE1">
      <w:pPr>
        <w:numPr>
          <w:ilvl w:val="0"/>
          <w:numId w:val="1"/>
        </w:numPr>
        <w:tabs>
          <w:tab w:val="num" w:pos="0"/>
          <w:tab w:val="num" w:pos="567"/>
        </w:tabs>
        <w:spacing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введення у структуру уроку етапів, що дозволяють акцентувати увагу і зосереджувати зусилля на розвитку логічного мислення;</w:t>
      </w:r>
    </w:p>
    <w:p w:rsidR="009E1FE1" w:rsidRDefault="009E1FE1" w:rsidP="009E1FE1">
      <w:pPr>
        <w:numPr>
          <w:ilvl w:val="0"/>
          <w:numId w:val="1"/>
        </w:numPr>
        <w:tabs>
          <w:tab w:val="num" w:pos="0"/>
          <w:tab w:val="num" w:pos="567"/>
        </w:tabs>
        <w:spacing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забезпечення позитивної мотивації учнів до освоєння логічних операцій у навчанні;</w:t>
      </w:r>
    </w:p>
    <w:p w:rsidR="009E1FE1" w:rsidRDefault="009E1FE1" w:rsidP="009E1FE1">
      <w:pPr>
        <w:numPr>
          <w:ilvl w:val="0"/>
          <w:numId w:val="1"/>
        </w:numPr>
        <w:tabs>
          <w:tab w:val="num" w:pos="0"/>
          <w:tab w:val="num" w:pos="567"/>
        </w:tabs>
        <w:spacing w:line="360" w:lineRule="auto"/>
        <w:ind w:left="0" w:firstLine="284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реалізація діяльнісно-особистісного підходу до розвитку логічного мислення.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Засадничими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перевірки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логічного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стали уроки математики</w:t>
      </w:r>
      <w:r>
        <w:rPr>
          <w:rFonts w:ascii="Times New Roman" w:hAnsi="Times New Roman" w:cs="Times New Roman"/>
          <w:sz w:val="28"/>
          <w:szCs w:val="28"/>
          <w:lang w:val="uk-UA"/>
        </w:rPr>
        <w:t>. Зупинимося детальніше на кожній із визначених умов.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Першою умовою є 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введення у структуру уроку етапів, що дозволяють акцентувати увагу і зосереджувати зусилля на розвитку логічного мислення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У процесі шкільного навчання учню необхідно не просто повідомляти «суму знань», але і формувати у нього систему взаємопов'язаних знань, що утворюють внутрішню упорядковану структуру. Формування впорядкованої системи знань веде до найбільш ефективного їх засвоєння і до розвитку логічного мислення. Все це вимагає від педагога перебудови традиційно сформованої структури уроку, виділення розумових операцій в навчальному матеріалі, спрямованості його діяльності на навчання учнів логічним операціям.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Наступною умовою є 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забезпечення позитивної мотивації учнів до освоєння логічних операцій в навчанні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Мотиви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навчальної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діяльності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сенс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учня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ставлення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а тому й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енергію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старанність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якою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він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вчиться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вникає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в суть того,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вивчається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ним, і,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зрештою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Повноцінні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мотиви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органічно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lastRenderedPageBreak/>
        <w:t>пов´язані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цілями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змістом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розширюють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засвоєння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оволодіння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вміннями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раціональними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способами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Велике значення для успішної навчальної діяльності має розвиток належних мотивів, зокрема: інтересу до знань, бажання вчитися, д</w:t>
      </w:r>
      <w:r>
        <w:rPr>
          <w:rFonts w:ascii="Times New Roman" w:hAnsi="Times New Roman" w:cs="Times New Roman"/>
          <w:sz w:val="28"/>
          <w:szCs w:val="28"/>
          <w:lang w:val="uk-UA"/>
        </w:rPr>
        <w:t>о методів самостійного здобутт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 знань, до способів саморегуляції навчальної роботи, раціональної організації своєї навчальної праці. До неї належать і мотиви самоосвіти, які полягають у спрямованості школярів на самостійне вдосконалення способів здобування знань і бажанні добитися успіху в ході ніби постійного змагання з самим собою, у бажанні добитися кращих результатів.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Існують методи, спрямовані на формування позитивних мотивів учіння, що стимулюють пізнавальну активність і сприяють збагаченню учнів навчальною інформацією такі, як [3]:</w:t>
      </w:r>
    </w:p>
    <w:p w:rsidR="009E1FE1" w:rsidRDefault="009E1FE1" w:rsidP="009E1FE1">
      <w:pPr>
        <w:numPr>
          <w:ilvl w:val="0"/>
          <w:numId w:val="2"/>
        </w:numPr>
        <w:tabs>
          <w:tab w:val="num" w:pos="1276"/>
          <w:tab w:val="num" w:pos="1620"/>
        </w:tabs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 створення ситуації новизни навчального матеріалу.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Передбачає окреслення нових знань у процесі викладання, створення атмосфери морального задоволення від інтелектуальної праці. Відчуття збагачення знаннями спонукає учнів до самовдосконалення.</w:t>
      </w:r>
    </w:p>
    <w:p w:rsidR="009E1FE1" w:rsidRDefault="009E1FE1" w:rsidP="009E1FE1">
      <w:pPr>
        <w:numPr>
          <w:ilvl w:val="0"/>
          <w:numId w:val="2"/>
        </w:numPr>
        <w:tabs>
          <w:tab w:val="num" w:pos="1080"/>
          <w:tab w:val="num" w:pos="1276"/>
        </w:tabs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 опори на життєвий досвід учнів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Полягає у використанні вчителем у навчальному процесі життєвого досвіду учнів (фактів, явищ, які вони спостерігали в житті, навколишньому середовищі або в яких самі брали участь) як опори при вивченні нового матеріалу. Це викликає в учнів інтерес, бажання пізнати сутність спостережуваних явищ.</w:t>
      </w:r>
    </w:p>
    <w:p w:rsidR="009E1FE1" w:rsidRDefault="009E1FE1" w:rsidP="009E1FE1">
      <w:pPr>
        <w:numPr>
          <w:ilvl w:val="0"/>
          <w:numId w:val="2"/>
        </w:numPr>
        <w:tabs>
          <w:tab w:val="num" w:pos="1080"/>
          <w:tab w:val="num" w:pos="1276"/>
        </w:tabs>
        <w:spacing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>Метод створення ситуації успіху в навчанні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 Постійне відчуття учнем успіху в навчанні зміцнює впевненість у власних силах, пробуджує почуття гідності, бажання вчитися.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Отже, з боку педагога важливо не тільки переконувати учнів у необхідності умінь здійснювати ті чи інші логічні операції, але і всіляко стимулювати їх спроби провести узагальнення, аналіз, синтез та ін. Спроба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молодшого школяра, нехай і невдала, здійснити логічну операцію повинна оцінюватися вище, ніж конкретний результат отримання знань.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Важливою умовою є і 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реалізація діяльнісно-особистісного підходу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 розвитку логічного мислення. Відповідно до діяльнісного підходу організація навчально-виховного процесу, побудована таким чином, що головна увага приділяється активній, різнобічній, продуктивній, максимально самостійній навчально-пізнавальній діяльності учнів.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Активна, свідома діяльність молодших школярів є основою високого рівня розвитку логічного мислення. Вчитель створює умови для розвитку, бажання вчитися, усвідомлення змісту діяльності, використання узагальнених способів дій, необхідних для осмислення теми, застосування знань у стандартних і нестандартних ситуаціях, виявлення таких вольових якостей у роботі, як наполегливість та цілеспрямованість. Одним із прикладів конкретної реалізації діяльнісного підходу до розвитку логічного мислення у молодших школярів є проблемне вивчення матеріалу.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Отже, структура навчального матеріалу повинна бути орієнтована на самостійне і обґрунтоване отримання знань учнями на основі використання і узагальнення їх досвіду, оскільки об'єктивна істина набуває суб'єктивну значущість і корисність, якщо вона засвоєна на «підставі власного досвіду». В іншому випадку – знання формальні. Також важливою є орієнтація на процес навчання, а не тільки на результат.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Згідно другого підходу навчальний процес доцільно організовувати так, щоб робота була спрямована не тільки на засвоєння знань, але й на способи засвоєння і процеси мислення, на розвиток пізнавальних сил і творчих здібностей. Відповідно до цього в центрі навчання знаходиться учень, його цілі, мотиви, інтереси, схильності, рівень його навченості і здібності. Реалізація ідей діяльнісно-особистісного підходу дозволяє вивести кожного учня на високий рівень розвитку логічного мислення, що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забезпечить успіх при засвоєнні навчального матеріалу в освітньому закладі на наступних етапах навчання.</w:t>
      </w:r>
    </w:p>
    <w:p w:rsidR="009E1FE1" w:rsidRDefault="009E1FE1" w:rsidP="009E1FE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 та перспективи подальших досліджень.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Отже, у своїй практичній діяльності вчителеві доцільно орієнтуватись на такі умови розумового розвитку дітей, які роблять дитину здатною до оволодіння прийомами логічного мислення загальними для різних видів робіт і засвоєння різних навчальних предметів, для використання засвоєних прийомів при вирішенні нових завдань, для передбачення певних закономірних подій чи явищ.</w:t>
      </w:r>
    </w:p>
    <w:p w:rsidR="009E1FE1" w:rsidRDefault="009E1FE1" w:rsidP="009E1FE1">
      <w:pPr>
        <w:tabs>
          <w:tab w:val="num" w:pos="1260"/>
        </w:tabs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Аблова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 В. С. Формування елементів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логічноїі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алгебраїчної грамотності / В. С.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Аблова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Початкова школа – 1991. – №5 – С. 24-34.</w:t>
      </w:r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Агаева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</w:rPr>
        <w:t>Л. Развитие познавательных способностей в процессе дошкольного воспитания / Под ред.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Венгера</w:t>
      </w:r>
      <w:proofErr w:type="spellEnd"/>
      <w:r>
        <w:rPr>
          <w:rFonts w:ascii="Times New Roman" w:hAnsi="Times New Roman" w:cs="Times New Roman"/>
          <w:sz w:val="28"/>
          <w:szCs w:val="28"/>
        </w:rPr>
        <w:t>; Науч.-</w:t>
      </w:r>
      <w:proofErr w:type="spellStart"/>
      <w:r>
        <w:rPr>
          <w:rFonts w:ascii="Times New Roman" w:hAnsi="Times New Roman" w:cs="Times New Roman"/>
          <w:sz w:val="28"/>
          <w:szCs w:val="28"/>
        </w:rPr>
        <w:t>исслед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ин-т дошкольного воспитания Акад.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</w:t>
      </w:r>
      <w:proofErr w:type="spellEnd"/>
      <w:r>
        <w:rPr>
          <w:rFonts w:ascii="Times New Roman" w:hAnsi="Times New Roman" w:cs="Times New Roman"/>
          <w:sz w:val="28"/>
          <w:szCs w:val="28"/>
        </w:rPr>
        <w:t>. наук СССР. — М.: Педагогика, 1986. — 224 с.</w:t>
      </w:r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Лапіна Г. О. Формування мотивації навчання молодших школярів / Г. О. Лапіна // Початкове навчання та виховання. – 2011. – №25 (281). – С. 2-16.</w:t>
      </w:r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Національна доктрина розвитку системи освіти України у ХХІ столітті // Освіта України. – 2005. – № 29.</w:t>
      </w:r>
      <w:bookmarkStart w:id="1" w:name="_Toc439000453"/>
      <w:bookmarkStart w:id="2" w:name="_Toc439000273"/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Обухова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Ф. Детская психология: теория, факты, проблемы /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Ф.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Обухова. -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Тривола</w:t>
      </w:r>
      <w:proofErr w:type="spellEnd"/>
      <w:r>
        <w:rPr>
          <w:rFonts w:ascii="Times New Roman" w:hAnsi="Times New Roman" w:cs="Times New Roman"/>
          <w:sz w:val="28"/>
          <w:szCs w:val="28"/>
        </w:rPr>
        <w:t>, 1998. - 352 с.</w:t>
      </w:r>
      <w:bookmarkEnd w:id="1"/>
      <w:bookmarkEnd w:id="2"/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Полонский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 В. 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образованию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педагогике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В. М.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Полонский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Высш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шк. 2004. – 512 с.</w:t>
      </w:r>
    </w:p>
    <w:p w:rsidR="009E1FE1" w:rsidRDefault="009E1FE1" w:rsidP="009E1FE1">
      <w:pPr>
        <w:pStyle w:val="a3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Салмина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Г. Учимся думать. Что это такое? Учеб пособие в 2 частях. Часть 1. / 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Салмина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М.: Изд-во: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Вентана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-Граф, 2015. – 80 с.</w:t>
      </w:r>
    </w:p>
    <w:p w:rsidR="0071764A" w:rsidRPr="009E1FE1" w:rsidRDefault="0071764A">
      <w:pPr>
        <w:rPr>
          <w:lang w:val="uk-UA"/>
        </w:rPr>
      </w:pPr>
    </w:p>
    <w:sectPr w:rsidR="0071764A" w:rsidRPr="009E1F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764CB2"/>
    <w:multiLevelType w:val="hybridMultilevel"/>
    <w:tmpl w:val="0B40D19C"/>
    <w:lvl w:ilvl="0" w:tplc="04190011">
      <w:start w:val="1"/>
      <w:numFmt w:val="decimal"/>
      <w:lvlText w:val="%1)"/>
      <w:lvlJc w:val="left"/>
      <w:pPr>
        <w:tabs>
          <w:tab w:val="num" w:pos="1786"/>
        </w:tabs>
        <w:ind w:left="1786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506"/>
        </w:tabs>
        <w:ind w:left="250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226"/>
        </w:tabs>
        <w:ind w:left="322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946"/>
        </w:tabs>
        <w:ind w:left="394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666"/>
        </w:tabs>
        <w:ind w:left="466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386"/>
        </w:tabs>
        <w:ind w:left="5386" w:hanging="180"/>
      </w:pPr>
    </w:lvl>
    <w:lvl w:ilvl="6" w:tplc="0419000F">
      <w:start w:val="1"/>
      <w:numFmt w:val="decimal"/>
      <w:lvlText w:val="%7."/>
      <w:lvlJc w:val="left"/>
      <w:pPr>
        <w:tabs>
          <w:tab w:val="num" w:pos="6106"/>
        </w:tabs>
        <w:ind w:left="610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826"/>
        </w:tabs>
        <w:ind w:left="682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546"/>
        </w:tabs>
        <w:ind w:left="7546" w:hanging="180"/>
      </w:pPr>
    </w:lvl>
  </w:abstractNum>
  <w:abstractNum w:abstractNumId="1" w15:restartNumberingAfterBreak="0">
    <w:nsid w:val="518A5680"/>
    <w:multiLevelType w:val="hybridMultilevel"/>
    <w:tmpl w:val="9C48EE62"/>
    <w:lvl w:ilvl="0" w:tplc="164012C0">
      <w:start w:val="1"/>
      <w:numFmt w:val="decimal"/>
      <w:lvlText w:val="%1."/>
      <w:lvlJc w:val="left"/>
      <w:pPr>
        <w:tabs>
          <w:tab w:val="num" w:pos="2191"/>
        </w:tabs>
        <w:ind w:left="2191" w:hanging="1125"/>
      </w:pPr>
    </w:lvl>
    <w:lvl w:ilvl="1" w:tplc="04190019">
      <w:start w:val="1"/>
      <w:numFmt w:val="lowerLetter"/>
      <w:lvlText w:val="%2."/>
      <w:lvlJc w:val="left"/>
      <w:pPr>
        <w:tabs>
          <w:tab w:val="num" w:pos="2146"/>
        </w:tabs>
        <w:ind w:left="2146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6"/>
        </w:tabs>
        <w:ind w:left="2866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6"/>
        </w:tabs>
        <w:ind w:left="3586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6"/>
        </w:tabs>
        <w:ind w:left="4306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6"/>
        </w:tabs>
        <w:ind w:left="5026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6"/>
        </w:tabs>
        <w:ind w:left="5746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6"/>
        </w:tabs>
        <w:ind w:left="6466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6"/>
        </w:tabs>
        <w:ind w:left="7186" w:hanging="180"/>
      </w:pPr>
    </w:lvl>
  </w:abstractNum>
  <w:abstractNum w:abstractNumId="2" w15:restartNumberingAfterBreak="0">
    <w:nsid w:val="68AC63E8"/>
    <w:multiLevelType w:val="hybridMultilevel"/>
    <w:tmpl w:val="F0B04EF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CAF"/>
    <w:rsid w:val="001F0114"/>
    <w:rsid w:val="0071764A"/>
    <w:rsid w:val="009E1FE1"/>
    <w:rsid w:val="00A139FF"/>
    <w:rsid w:val="00D71CAF"/>
    <w:rsid w:val="00E34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5C1971-8170-472E-9DA1-4935BB181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1F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1FE1"/>
    <w:pPr>
      <w:ind w:left="720"/>
      <w:contextualSpacing/>
    </w:pPr>
  </w:style>
  <w:style w:type="character" w:customStyle="1" w:styleId="1111111111">
    <w:name w:val="1111111111 Знак"/>
    <w:link w:val="11111111110"/>
    <w:locked/>
    <w:rsid w:val="009E1FE1"/>
    <w:rPr>
      <w:rFonts w:ascii="Times New Roman" w:eastAsia="Times New Roman" w:hAnsi="Times New Roman" w:cs="Times New Roman"/>
      <w:b/>
      <w:sz w:val="28"/>
      <w:szCs w:val="28"/>
      <w:lang w:val="uk-UA" w:eastAsia="ru-RU"/>
    </w:rPr>
  </w:style>
  <w:style w:type="paragraph" w:customStyle="1" w:styleId="11111111110">
    <w:name w:val="1111111111"/>
    <w:basedOn w:val="a"/>
    <w:link w:val="1111111111"/>
    <w:qFormat/>
    <w:rsid w:val="009E1FE1"/>
    <w:pPr>
      <w:spacing w:after="0" w:line="360" w:lineRule="auto"/>
      <w:jc w:val="center"/>
    </w:pPr>
    <w:rPr>
      <w:rFonts w:ascii="Times New Roman" w:eastAsia="Times New Roman" w:hAnsi="Times New Roman" w:cs="Times New Roman"/>
      <w:b/>
      <w:sz w:val="28"/>
      <w:szCs w:val="28"/>
      <w:lang w:val="uk-UA" w:eastAsia="ru-RU"/>
    </w:rPr>
  </w:style>
  <w:style w:type="paragraph" w:styleId="a4">
    <w:name w:val="Body Text Indent"/>
    <w:basedOn w:val="a"/>
    <w:link w:val="a5"/>
    <w:uiPriority w:val="99"/>
    <w:semiHidden/>
    <w:unhideWhenUsed/>
    <w:rsid w:val="00A139FF"/>
    <w:pPr>
      <w:widowControl w:val="0"/>
      <w:suppressAutoHyphens/>
      <w:spacing w:after="120" w:line="240" w:lineRule="auto"/>
      <w:ind w:left="283"/>
    </w:pPr>
    <w:rPr>
      <w:rFonts w:ascii="Times New Roman" w:eastAsia="Andale Sans UI" w:hAnsi="Times New Roman" w:cs="Times New Roman"/>
      <w:kern w:val="2"/>
      <w:sz w:val="24"/>
      <w:szCs w:val="24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A139FF"/>
    <w:rPr>
      <w:rFonts w:ascii="Times New Roman" w:eastAsia="Andale Sans UI" w:hAnsi="Times New Roman" w:cs="Times New Roman"/>
      <w:kern w:val="2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571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1526</Words>
  <Characters>8703</Characters>
  <Application>Microsoft Office Word</Application>
  <DocSecurity>0</DocSecurity>
  <Lines>72</Lines>
  <Paragraphs>20</Paragraphs>
  <ScaleCrop>false</ScaleCrop>
  <Company/>
  <LinksUpToDate>false</LinksUpToDate>
  <CharactersWithSpaces>10209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MSIVR610X</dc:creator>
  <cp:keywords/>
  <dc:description/>
  <cp:lastModifiedBy>Пользователь Windows</cp:lastModifiedBy>
  <cp:revision>5</cp:revision>
  <dcterms:created xsi:type="dcterms:W3CDTF">2017-12-10T15:23:00Z</dcterms:created>
  <dcterms:modified xsi:type="dcterms:W3CDTF">2017-12-12T06:15:00Z</dcterms:modified>
</cp:coreProperties>
</file>